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B71744" w:rsidRPr="00DA6210">
        <w:trPr>
          <w:tblCellSpacing w:w="0" w:type="dxa"/>
          <w:jc w:val="center"/>
        </w:trPr>
        <w:tc>
          <w:tcPr>
            <w:tcW w:w="0" w:type="auto"/>
            <w:tcMar>
              <w:top w:w="30" w:type="dxa"/>
              <w:left w:w="0" w:type="dxa"/>
              <w:bottom w:w="150" w:type="dxa"/>
              <w:right w:w="0" w:type="dxa"/>
            </w:tcMar>
            <w:vAlign w:val="center"/>
            <w:hideMark/>
          </w:tcPr>
          <w:p w:rsidR="00B71744" w:rsidRPr="00DA6210" w:rsidRDefault="00B71744" w:rsidP="00DA6210">
            <w:pPr>
              <w:widowControl/>
              <w:jc w:val="center"/>
              <w:rPr>
                <w:rFonts w:asciiTheme="majorEastAsia" w:eastAsiaTheme="majorEastAsia" w:hAnsiTheme="majorEastAsia" w:cs="Arial"/>
                <w:b/>
                <w:bCs/>
                <w:color w:val="093A96"/>
                <w:kern w:val="0"/>
                <w:szCs w:val="21"/>
              </w:rPr>
            </w:pPr>
            <w:r w:rsidRPr="00DA6210">
              <w:rPr>
                <w:rFonts w:asciiTheme="majorEastAsia" w:eastAsiaTheme="majorEastAsia" w:hAnsiTheme="majorEastAsia" w:cs="Arial"/>
                <w:b/>
                <w:bCs/>
                <w:color w:val="093A96"/>
                <w:kern w:val="0"/>
                <w:szCs w:val="21"/>
              </w:rPr>
              <w:t xml:space="preserve">《体外诊断试剂注册管理办法》（国家食品药品监督管理总局令第5号） </w:t>
            </w:r>
          </w:p>
        </w:tc>
      </w:tr>
      <w:tr w:rsidR="00B71744" w:rsidRPr="00DA6210">
        <w:trPr>
          <w:tblCellSpacing w:w="0" w:type="dxa"/>
          <w:jc w:val="center"/>
        </w:trPr>
        <w:tc>
          <w:tcPr>
            <w:tcW w:w="0" w:type="auto"/>
            <w:tcMar>
              <w:top w:w="150" w:type="dxa"/>
              <w:left w:w="0" w:type="dxa"/>
              <w:bottom w:w="0" w:type="dxa"/>
              <w:right w:w="0" w:type="dxa"/>
            </w:tcMar>
            <w:vAlign w:val="center"/>
            <w:hideMark/>
          </w:tcPr>
          <w:p w:rsidR="00B71744" w:rsidRPr="00DA6210" w:rsidRDefault="00B71744" w:rsidP="00DA6210">
            <w:pPr>
              <w:widowControl/>
              <w:jc w:val="center"/>
              <w:rPr>
                <w:rFonts w:asciiTheme="majorEastAsia" w:eastAsiaTheme="majorEastAsia" w:hAnsiTheme="majorEastAsia" w:cs="Arial"/>
                <w:color w:val="000000"/>
                <w:kern w:val="0"/>
                <w:szCs w:val="21"/>
              </w:rPr>
            </w:pPr>
          </w:p>
        </w:tc>
      </w:tr>
      <w:tr w:rsidR="00B71744" w:rsidRPr="00DA6210">
        <w:trPr>
          <w:tblCellSpacing w:w="0" w:type="dxa"/>
          <w:jc w:val="center"/>
        </w:trPr>
        <w:tc>
          <w:tcPr>
            <w:tcW w:w="0" w:type="auto"/>
            <w:tcMar>
              <w:top w:w="120" w:type="dxa"/>
              <w:left w:w="0" w:type="dxa"/>
              <w:bottom w:w="0" w:type="dxa"/>
              <w:right w:w="0" w:type="dxa"/>
            </w:tcMar>
            <w:vAlign w:val="center"/>
            <w:hideMark/>
          </w:tcPr>
          <w:p w:rsidR="00B71744" w:rsidRPr="00DA6210" w:rsidRDefault="00B71744" w:rsidP="00DA6210">
            <w:pPr>
              <w:widowControl/>
              <w:jc w:val="right"/>
              <w:rPr>
                <w:rFonts w:asciiTheme="majorEastAsia" w:eastAsiaTheme="majorEastAsia" w:hAnsiTheme="majorEastAsia" w:cs="Arial"/>
                <w:color w:val="919191"/>
                <w:kern w:val="0"/>
                <w:szCs w:val="21"/>
              </w:rPr>
            </w:pPr>
            <w:r w:rsidRPr="00DA6210">
              <w:rPr>
                <w:rFonts w:asciiTheme="majorEastAsia" w:eastAsiaTheme="majorEastAsia" w:hAnsiTheme="majorEastAsia" w:cs="Arial"/>
                <w:color w:val="919191"/>
                <w:kern w:val="0"/>
                <w:szCs w:val="21"/>
              </w:rPr>
              <w:t xml:space="preserve">2014年07月30日 发布 </w:t>
            </w:r>
          </w:p>
        </w:tc>
      </w:tr>
      <w:tr w:rsidR="00B71744" w:rsidRPr="00DA6210">
        <w:trPr>
          <w:trHeight w:val="60"/>
          <w:tblCellSpacing w:w="0" w:type="dxa"/>
          <w:jc w:val="center"/>
        </w:trPr>
        <w:tc>
          <w:tcPr>
            <w:tcW w:w="5000" w:type="pct"/>
            <w:vAlign w:val="center"/>
            <w:hideMark/>
          </w:tcPr>
          <w:p w:rsidR="00B71744" w:rsidRPr="00DA6210" w:rsidRDefault="00B71744" w:rsidP="00DA6210">
            <w:pPr>
              <w:widowControl/>
              <w:jc w:val="center"/>
              <w:rPr>
                <w:rFonts w:asciiTheme="majorEastAsia" w:eastAsiaTheme="majorEastAsia" w:hAnsiTheme="majorEastAsia" w:cs="Arial"/>
                <w:color w:val="000000"/>
                <w:kern w:val="0"/>
                <w:szCs w:val="21"/>
              </w:rPr>
            </w:pPr>
          </w:p>
        </w:tc>
      </w:tr>
      <w:tr w:rsidR="00B71744" w:rsidRPr="00DA6210">
        <w:trPr>
          <w:tblCellSpacing w:w="0" w:type="dxa"/>
          <w:jc w:val="center"/>
        </w:trPr>
        <w:tc>
          <w:tcPr>
            <w:tcW w:w="0" w:type="auto"/>
            <w:tcMar>
              <w:top w:w="300" w:type="dxa"/>
              <w:left w:w="0" w:type="dxa"/>
              <w:bottom w:w="0" w:type="dxa"/>
              <w:right w:w="0" w:type="dxa"/>
            </w:tcMar>
            <w:vAlign w:val="center"/>
            <w:hideMark/>
          </w:tcPr>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《体外诊断试剂注册管理办法》已于2014年6月27日经国家食品药品监督管理总局局务会议审议通过，现予公布，自2014年10月1日起施行。</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br/>
              <w:t xml:space="preserve">　　　　　　　</w:t>
            </w:r>
            <w:r w:rsidR="000A1E25">
              <w:rPr>
                <w:rFonts w:asciiTheme="majorEastAsia" w:eastAsiaTheme="majorEastAsia" w:hAnsiTheme="majorEastAsia" w:cs="Arial"/>
                <w:color w:val="000000"/>
                <w:kern w:val="0"/>
                <w:szCs w:val="21"/>
              </w:rPr>
              <w:t xml:space="preserve">　　　　　　　　　　　　　　　　　　　　　　　　</w:t>
            </w:r>
            <w:r w:rsidRPr="00DA6210">
              <w:rPr>
                <w:rFonts w:asciiTheme="majorEastAsia" w:eastAsiaTheme="majorEastAsia" w:hAnsiTheme="majorEastAsia" w:cs="Arial"/>
                <w:color w:val="000000"/>
                <w:kern w:val="0"/>
                <w:szCs w:val="21"/>
              </w:rPr>
              <w:t>局　长　　张勇</w:t>
            </w:r>
            <w:r w:rsidRPr="00DA6210">
              <w:rPr>
                <w:rFonts w:asciiTheme="majorEastAsia" w:eastAsiaTheme="majorEastAsia" w:hAnsiTheme="majorEastAsia" w:cs="Arial"/>
                <w:color w:val="000000"/>
                <w:kern w:val="0"/>
                <w:szCs w:val="21"/>
              </w:rPr>
              <w:br/>
              <w:t xml:space="preserve">　　　　　　　</w:t>
            </w:r>
            <w:r w:rsidR="000A1E25">
              <w:rPr>
                <w:rFonts w:asciiTheme="majorEastAsia" w:eastAsiaTheme="majorEastAsia" w:hAnsiTheme="majorEastAsia" w:cs="Arial"/>
                <w:color w:val="000000"/>
                <w:kern w:val="0"/>
                <w:szCs w:val="21"/>
              </w:rPr>
              <w:t xml:space="preserve">　　　　　　　　　　　　　　　　　　　　　　</w:t>
            </w:r>
            <w:r w:rsidRPr="00DA6210">
              <w:rPr>
                <w:rFonts w:asciiTheme="majorEastAsia" w:eastAsiaTheme="majorEastAsia" w:hAnsiTheme="majorEastAsia" w:cs="Arial"/>
                <w:color w:val="000000"/>
                <w:kern w:val="0"/>
                <w:szCs w:val="21"/>
              </w:rPr>
              <w:t>2014年7月30日</w:t>
            </w:r>
          </w:p>
          <w:p w:rsidR="00B71744" w:rsidRPr="00DA6210" w:rsidRDefault="00B71744" w:rsidP="00DA6210">
            <w:pPr>
              <w:widowControl/>
              <w:spacing w:before="100" w:beforeAutospacing="1" w:after="100" w:afterAutospacing="1"/>
              <w:jc w:val="center"/>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br/>
            </w:r>
            <w:r w:rsidRPr="00DA6210">
              <w:rPr>
                <w:rFonts w:asciiTheme="majorEastAsia" w:eastAsiaTheme="majorEastAsia" w:hAnsiTheme="majorEastAsia" w:cs="Arial"/>
                <w:b/>
                <w:bCs/>
                <w:color w:val="000000"/>
                <w:kern w:val="0"/>
                <w:szCs w:val="21"/>
              </w:rPr>
              <w:t>体外诊断试剂注册管理办法</w:t>
            </w:r>
          </w:p>
          <w:p w:rsidR="00B71744" w:rsidRPr="00DA6210" w:rsidRDefault="00B71744" w:rsidP="00DA6210">
            <w:pPr>
              <w:widowControl/>
              <w:spacing w:before="100" w:beforeAutospacing="1" w:after="100" w:afterAutospacing="1"/>
              <w:jc w:val="center"/>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第一章　总　则</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第一条　为规范体外诊断试剂的注册与备案管理，保证体外诊断试剂的安全、有效，根据《医疗器械监督管理条例》，制定本办法。</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第二条　在中华人民共和国境内销售、使用的体外诊断试剂，应当按照本办法的规定申请注册或者办理备案。</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第三条　本办法所称体外诊断试剂，是指按医疗器械管理的体外诊断试剂，包括在疾病的预测、预防、诊断、治疗监测、预后观察和健康状态评价的过程中，用于人体样本体外检测的试剂、试剂盒、校准品、质控品等产品。可以单独使用，也可以与仪器、器具、设备或者系统组合使用。</w:t>
            </w:r>
            <w:r w:rsidRPr="00DA6210">
              <w:rPr>
                <w:rFonts w:asciiTheme="majorEastAsia" w:eastAsiaTheme="majorEastAsia" w:hAnsiTheme="majorEastAsia" w:cs="Arial"/>
                <w:color w:val="000000"/>
                <w:kern w:val="0"/>
                <w:szCs w:val="21"/>
              </w:rPr>
              <w:br/>
              <w:t xml:space="preserve">　　按照药品管理的用于血源筛查的体外诊断试剂和采用放射性核素标记的体外诊断试剂，不属于本办法管理范围。</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第四条　体外诊断试剂注册是食品药品监督管理部门根据注册申请人的申请，依照法定程序，对其拟上市体外诊断试剂的安全性、有效性研究及其结果进行系统评价，以决定是否同意其申请的过程。</w:t>
            </w:r>
            <w:r w:rsidRPr="00DA6210">
              <w:rPr>
                <w:rFonts w:asciiTheme="majorEastAsia" w:eastAsiaTheme="majorEastAsia" w:hAnsiTheme="majorEastAsia" w:cs="Arial"/>
                <w:color w:val="000000"/>
                <w:kern w:val="0"/>
                <w:szCs w:val="21"/>
              </w:rPr>
              <w:br/>
              <w:t xml:space="preserve">　　体外诊断试剂备案是备案人向食品药品监督管理部门提交备案资料，食品药品监督管理部门对提交的备案资料存档备查。</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第五条　体外诊断试剂注册与备案应当遵循公开、公平、公正的原则。</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第六条　第一类体外诊断试剂实行备案管理，第二类、第三类体外诊断试剂实行注册管理。</w:t>
            </w:r>
            <w:r w:rsidRPr="00DA6210">
              <w:rPr>
                <w:rFonts w:asciiTheme="majorEastAsia" w:eastAsiaTheme="majorEastAsia" w:hAnsiTheme="majorEastAsia" w:cs="Arial"/>
                <w:color w:val="000000"/>
                <w:kern w:val="0"/>
                <w:szCs w:val="21"/>
              </w:rPr>
              <w:br/>
              <w:t xml:space="preserve">　　境内第一类体外诊断试剂备案，备案人向设区的市级食品药品监督管理部门提交备案资料。</w:t>
            </w:r>
            <w:r w:rsidRPr="00DA6210">
              <w:rPr>
                <w:rFonts w:asciiTheme="majorEastAsia" w:eastAsiaTheme="majorEastAsia" w:hAnsiTheme="majorEastAsia" w:cs="Arial"/>
                <w:color w:val="000000"/>
                <w:kern w:val="0"/>
                <w:szCs w:val="21"/>
              </w:rPr>
              <w:br/>
              <w:t xml:space="preserve">　　境内第二类体外诊断试剂由省、自治区、直辖市食品药品监督管理部门审查，批准后发给医疗器械注册证。</w:t>
            </w:r>
            <w:r w:rsidRPr="00DA6210">
              <w:rPr>
                <w:rFonts w:asciiTheme="majorEastAsia" w:eastAsiaTheme="majorEastAsia" w:hAnsiTheme="majorEastAsia" w:cs="Arial"/>
                <w:color w:val="000000"/>
                <w:kern w:val="0"/>
                <w:szCs w:val="21"/>
              </w:rPr>
              <w:br/>
              <w:t xml:space="preserve">　　境内第三类体外诊断试剂由国家食品药品监督管理总局审查，批准后发给医疗器械注册证。</w:t>
            </w:r>
            <w:r w:rsidRPr="00DA6210">
              <w:rPr>
                <w:rFonts w:asciiTheme="majorEastAsia" w:eastAsiaTheme="majorEastAsia" w:hAnsiTheme="majorEastAsia" w:cs="Arial"/>
                <w:color w:val="000000"/>
                <w:kern w:val="0"/>
                <w:szCs w:val="21"/>
              </w:rPr>
              <w:br/>
            </w:r>
            <w:r w:rsidRPr="00DA6210">
              <w:rPr>
                <w:rFonts w:asciiTheme="majorEastAsia" w:eastAsiaTheme="majorEastAsia" w:hAnsiTheme="majorEastAsia" w:cs="Arial"/>
                <w:color w:val="000000"/>
                <w:kern w:val="0"/>
                <w:szCs w:val="21"/>
              </w:rPr>
              <w:lastRenderedPageBreak/>
              <w:t xml:space="preserve">　　进口第一类体外诊断试剂备案，备案人向国家食品药品监督管理总局提交备案资料。</w:t>
            </w:r>
            <w:r w:rsidRPr="00DA6210">
              <w:rPr>
                <w:rFonts w:asciiTheme="majorEastAsia" w:eastAsiaTheme="majorEastAsia" w:hAnsiTheme="majorEastAsia" w:cs="Arial"/>
                <w:color w:val="000000"/>
                <w:kern w:val="0"/>
                <w:szCs w:val="21"/>
              </w:rPr>
              <w:br/>
              <w:t xml:space="preserve">　　进口第二类、第三类体外诊断试剂由国家食品药品监督管理总局审查，批准后发给医疗器械注册证。</w:t>
            </w:r>
            <w:r w:rsidRPr="00DA6210">
              <w:rPr>
                <w:rFonts w:asciiTheme="majorEastAsia" w:eastAsiaTheme="majorEastAsia" w:hAnsiTheme="majorEastAsia" w:cs="Arial"/>
                <w:color w:val="000000"/>
                <w:kern w:val="0"/>
                <w:szCs w:val="21"/>
              </w:rPr>
              <w:br/>
              <w:t xml:space="preserve">　　香港、澳门、台湾地区体外诊断试剂的注册、备案，参照进口体外诊断试剂办理。</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第七条　体外诊断试剂注册人、备案人以自己名义把产品推向市场，对产品负法律责任。</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第八条　食品药品监督管理部门依法及时公布体外诊断试剂注册、备案相关信息。申请人可以查询审批进度和结果，公众可以查阅审批结果。</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第九条　国家鼓励体外诊断试剂的研究与创新，对创新体外诊断试剂实行特别审批，促进体外诊断试剂新技术的推广与应用，推动医疗器械产业的发展。</w:t>
            </w:r>
          </w:p>
          <w:p w:rsidR="00B71744" w:rsidRPr="00DA6210" w:rsidRDefault="00B71744" w:rsidP="00DA6210">
            <w:pPr>
              <w:widowControl/>
              <w:spacing w:before="100" w:beforeAutospacing="1" w:after="100" w:afterAutospacing="1"/>
              <w:jc w:val="center"/>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第二章　基本要求</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第十条　体外诊断试剂注册申请人和备案人应当建立与产品研制、生产有关的质量管理体系，并保持有效运行。</w:t>
            </w:r>
            <w:r w:rsidRPr="00DA6210">
              <w:rPr>
                <w:rFonts w:asciiTheme="majorEastAsia" w:eastAsiaTheme="majorEastAsia" w:hAnsiTheme="majorEastAsia" w:cs="Arial"/>
                <w:color w:val="000000"/>
                <w:kern w:val="0"/>
                <w:szCs w:val="21"/>
              </w:rPr>
              <w:br/>
              <w:t xml:space="preserve">　　按照创新医疗器械特别审批程序审批的境内体外诊断试剂申请注册时，样品委托其他企业生产的，应当委托具有相应生产范围的医疗器械生产企业；不属于按照创新医疗器械特别审批程序审批的境内体外诊断试剂申请注册时，样品不得委托其他企业生产。</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第十一条　办理体外诊断试剂注册或者备案事务的人员应当具有相应的专业知识，熟悉医疗器械注册或者备案管理的法律、法规、规章和技术要求。</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第十二条　体外诊断试剂产品研制包括：主要原材料的选择、制备，产品生产工艺的确定，产品技术要求的拟订，产品稳定性研究，阳性判断值或者参考区间确定，产品分析性能评估，临床评价等相关工作。</w:t>
            </w:r>
            <w:r w:rsidRPr="00DA6210">
              <w:rPr>
                <w:rFonts w:asciiTheme="majorEastAsia" w:eastAsiaTheme="majorEastAsia" w:hAnsiTheme="majorEastAsia" w:cs="Arial"/>
                <w:color w:val="000000"/>
                <w:kern w:val="0"/>
                <w:szCs w:val="21"/>
              </w:rPr>
              <w:br/>
              <w:t xml:space="preserve">　　申请人或者备案人可以参考相关技术指导原则进行产品研制，也可以采用不同的实验方法或者技术手段，但应当说明其合理性。</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第十三条　申请人或者备案人申请注册或者办理备案，应当遵循体外诊断试剂安全有效的各项要求，保证研制过程规范，所有数据真实、完整和可溯源。</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第十四条　申请注册或者办理备案的资料应当使用中文。根据外文资料翻译的，应当同时提供原文。引用未公开发表的文献资料时，应当提供资料所有者许可使用的证明文件。</w:t>
            </w:r>
            <w:r w:rsidRPr="00DA6210">
              <w:rPr>
                <w:rFonts w:asciiTheme="majorEastAsia" w:eastAsiaTheme="majorEastAsia" w:hAnsiTheme="majorEastAsia" w:cs="Arial"/>
                <w:color w:val="000000"/>
                <w:kern w:val="0"/>
                <w:szCs w:val="21"/>
              </w:rPr>
              <w:br/>
              <w:t xml:space="preserve">　　申请人、备案人对资料的真实性负责。</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第十五条　申请注册或者办理备案的进口体外诊断试剂，应当在申请人或者备案人注册地或者生产地址所在国家（地区）已获准上市销售。</w:t>
            </w:r>
            <w:r w:rsidRPr="00DA6210">
              <w:rPr>
                <w:rFonts w:asciiTheme="majorEastAsia" w:eastAsiaTheme="majorEastAsia" w:hAnsiTheme="majorEastAsia" w:cs="Arial"/>
                <w:color w:val="000000"/>
                <w:kern w:val="0"/>
                <w:szCs w:val="21"/>
              </w:rPr>
              <w:br/>
              <w:t xml:space="preserve">　　申请人或者备案人注册地或者生产地址所在国家（地区）未将该产品作为医疗器械管理的，申请人或者备案人需提供相关证明文件，包括注册地或者生产地址所在国家（地区）准许该产品上市销售的证明文件。</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第十六条　境外申请人或者备案人应当通过其在中国境内设立的代表机构或者指定中</w:t>
            </w:r>
            <w:r w:rsidRPr="00DA6210">
              <w:rPr>
                <w:rFonts w:asciiTheme="majorEastAsia" w:eastAsiaTheme="majorEastAsia" w:hAnsiTheme="majorEastAsia" w:cs="Arial"/>
                <w:color w:val="000000"/>
                <w:kern w:val="0"/>
                <w:szCs w:val="21"/>
              </w:rPr>
              <w:lastRenderedPageBreak/>
              <w:t>国境内的企业法人作为代理人，配合境外申请人或者备案人开展相关工作。</w:t>
            </w:r>
            <w:r w:rsidRPr="00DA6210">
              <w:rPr>
                <w:rFonts w:asciiTheme="majorEastAsia" w:eastAsiaTheme="majorEastAsia" w:hAnsiTheme="majorEastAsia" w:cs="Arial"/>
                <w:color w:val="000000"/>
                <w:kern w:val="0"/>
                <w:szCs w:val="21"/>
              </w:rPr>
              <w:br/>
              <w:t xml:space="preserve">　　代理人除办理体外诊断试剂注册或者备案事宜外，还应当承担以下责任：</w:t>
            </w:r>
            <w:r w:rsidRPr="00DA6210">
              <w:rPr>
                <w:rFonts w:asciiTheme="majorEastAsia" w:eastAsiaTheme="majorEastAsia" w:hAnsiTheme="majorEastAsia" w:cs="Arial"/>
                <w:color w:val="000000"/>
                <w:kern w:val="0"/>
                <w:szCs w:val="21"/>
              </w:rPr>
              <w:br/>
              <w:t xml:space="preserve">　　（一）与相应食品药品监督管理部门、境外申请人或者备案人的联络；</w:t>
            </w:r>
            <w:r w:rsidRPr="00DA6210">
              <w:rPr>
                <w:rFonts w:asciiTheme="majorEastAsia" w:eastAsiaTheme="majorEastAsia" w:hAnsiTheme="majorEastAsia" w:cs="Arial"/>
                <w:color w:val="000000"/>
                <w:kern w:val="0"/>
                <w:szCs w:val="21"/>
              </w:rPr>
              <w:br/>
              <w:t xml:space="preserve">　　（二）向申请人或者备案人如实、准确传达相关的法规和技术要求；</w:t>
            </w:r>
            <w:r w:rsidRPr="00DA6210">
              <w:rPr>
                <w:rFonts w:asciiTheme="majorEastAsia" w:eastAsiaTheme="majorEastAsia" w:hAnsiTheme="majorEastAsia" w:cs="Arial"/>
                <w:color w:val="000000"/>
                <w:kern w:val="0"/>
                <w:szCs w:val="21"/>
              </w:rPr>
              <w:br/>
              <w:t xml:space="preserve">　　（三）收集上市后体外诊断试剂不良事件信息并反馈境外注册人或者备案人，同时向相应的食品药品监督管理部门报告；</w:t>
            </w:r>
            <w:r w:rsidRPr="00DA6210">
              <w:rPr>
                <w:rFonts w:asciiTheme="majorEastAsia" w:eastAsiaTheme="majorEastAsia" w:hAnsiTheme="majorEastAsia" w:cs="Arial"/>
                <w:color w:val="000000"/>
                <w:kern w:val="0"/>
                <w:szCs w:val="21"/>
              </w:rPr>
              <w:br/>
              <w:t xml:space="preserve">　　（四）协调体外诊断试剂上市后的产品召回工作，并向相应的食品药品监督管理部门报告；</w:t>
            </w:r>
            <w:r w:rsidRPr="00DA6210">
              <w:rPr>
                <w:rFonts w:asciiTheme="majorEastAsia" w:eastAsiaTheme="majorEastAsia" w:hAnsiTheme="majorEastAsia" w:cs="Arial"/>
                <w:color w:val="000000"/>
                <w:kern w:val="0"/>
                <w:szCs w:val="21"/>
              </w:rPr>
              <w:br/>
              <w:t xml:space="preserve">　　（五）其他涉及产品质量和售后服务的连带责任。</w:t>
            </w:r>
          </w:p>
          <w:p w:rsidR="00B71744" w:rsidRPr="00DA6210" w:rsidRDefault="00B71744" w:rsidP="00DA6210">
            <w:pPr>
              <w:widowControl/>
              <w:spacing w:before="100" w:beforeAutospacing="1" w:after="100" w:afterAutospacing="1"/>
              <w:jc w:val="center"/>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第三章　产品的分类与命名</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第十七条　根据产品风险程度由低到高，体外诊断试剂分为第一类、第二类、第三类产品。</w:t>
            </w:r>
            <w:r w:rsidRPr="00DA6210">
              <w:rPr>
                <w:rFonts w:asciiTheme="majorEastAsia" w:eastAsiaTheme="majorEastAsia" w:hAnsiTheme="majorEastAsia" w:cs="Arial"/>
                <w:color w:val="000000"/>
                <w:kern w:val="0"/>
                <w:szCs w:val="21"/>
              </w:rPr>
              <w:br/>
              <w:t xml:space="preserve">　　（一）第一类产品</w:t>
            </w:r>
            <w:r w:rsidRPr="00DA6210">
              <w:rPr>
                <w:rFonts w:asciiTheme="majorEastAsia" w:eastAsiaTheme="majorEastAsia" w:hAnsiTheme="majorEastAsia" w:cs="Arial"/>
                <w:color w:val="000000"/>
                <w:kern w:val="0"/>
                <w:szCs w:val="21"/>
              </w:rPr>
              <w:br/>
              <w:t xml:space="preserve">　　1.微生物培养基（不用于微生物鉴别和药敏试验）；</w:t>
            </w:r>
            <w:r w:rsidRPr="00DA6210">
              <w:rPr>
                <w:rFonts w:asciiTheme="majorEastAsia" w:eastAsiaTheme="majorEastAsia" w:hAnsiTheme="majorEastAsia" w:cs="Arial"/>
                <w:color w:val="000000"/>
                <w:kern w:val="0"/>
                <w:szCs w:val="21"/>
              </w:rPr>
              <w:br/>
              <w:t xml:space="preserve">　　2.样本处理用产品，如溶血剂、稀释液、染色液等。</w:t>
            </w:r>
            <w:r w:rsidRPr="00DA6210">
              <w:rPr>
                <w:rFonts w:asciiTheme="majorEastAsia" w:eastAsiaTheme="majorEastAsia" w:hAnsiTheme="majorEastAsia" w:cs="Arial"/>
                <w:color w:val="000000"/>
                <w:kern w:val="0"/>
                <w:szCs w:val="21"/>
              </w:rPr>
              <w:br/>
              <w:t xml:space="preserve">　　（二）第二类产品</w:t>
            </w:r>
            <w:r w:rsidRPr="00DA6210">
              <w:rPr>
                <w:rFonts w:asciiTheme="majorEastAsia" w:eastAsiaTheme="majorEastAsia" w:hAnsiTheme="majorEastAsia" w:cs="Arial"/>
                <w:color w:val="000000"/>
                <w:kern w:val="0"/>
                <w:szCs w:val="21"/>
              </w:rPr>
              <w:br/>
              <w:t xml:space="preserve">　　除已明确为第一类、第三类的产品，其他为第二类产品，主要包括：</w:t>
            </w:r>
            <w:r w:rsidRPr="00DA6210">
              <w:rPr>
                <w:rFonts w:asciiTheme="majorEastAsia" w:eastAsiaTheme="majorEastAsia" w:hAnsiTheme="majorEastAsia" w:cs="Arial"/>
                <w:color w:val="000000"/>
                <w:kern w:val="0"/>
                <w:szCs w:val="21"/>
              </w:rPr>
              <w:br/>
              <w:t xml:space="preserve">　　1.用于蛋白质检测的试剂；</w:t>
            </w:r>
            <w:r w:rsidRPr="00DA6210">
              <w:rPr>
                <w:rFonts w:asciiTheme="majorEastAsia" w:eastAsiaTheme="majorEastAsia" w:hAnsiTheme="majorEastAsia" w:cs="Arial"/>
                <w:color w:val="000000"/>
                <w:kern w:val="0"/>
                <w:szCs w:val="21"/>
              </w:rPr>
              <w:br/>
              <w:t xml:space="preserve">　　2.用于糖类检测的试剂；</w:t>
            </w:r>
            <w:r w:rsidRPr="00DA6210">
              <w:rPr>
                <w:rFonts w:asciiTheme="majorEastAsia" w:eastAsiaTheme="majorEastAsia" w:hAnsiTheme="majorEastAsia" w:cs="Arial"/>
                <w:color w:val="000000"/>
                <w:kern w:val="0"/>
                <w:szCs w:val="21"/>
              </w:rPr>
              <w:br/>
              <w:t xml:space="preserve">　　3.用于激素检测的试剂；</w:t>
            </w:r>
            <w:r w:rsidRPr="00DA6210">
              <w:rPr>
                <w:rFonts w:asciiTheme="majorEastAsia" w:eastAsiaTheme="majorEastAsia" w:hAnsiTheme="majorEastAsia" w:cs="Arial"/>
                <w:color w:val="000000"/>
                <w:kern w:val="0"/>
                <w:szCs w:val="21"/>
              </w:rPr>
              <w:br/>
              <w:t xml:space="preserve">　　4.用于酶类检测的试剂；</w:t>
            </w:r>
            <w:r w:rsidRPr="00DA6210">
              <w:rPr>
                <w:rFonts w:asciiTheme="majorEastAsia" w:eastAsiaTheme="majorEastAsia" w:hAnsiTheme="majorEastAsia" w:cs="Arial"/>
                <w:color w:val="000000"/>
                <w:kern w:val="0"/>
                <w:szCs w:val="21"/>
              </w:rPr>
              <w:br/>
              <w:t xml:space="preserve">　　5.用于酯类检测的试剂；</w:t>
            </w:r>
            <w:r w:rsidRPr="00DA6210">
              <w:rPr>
                <w:rFonts w:asciiTheme="majorEastAsia" w:eastAsiaTheme="majorEastAsia" w:hAnsiTheme="majorEastAsia" w:cs="Arial"/>
                <w:color w:val="000000"/>
                <w:kern w:val="0"/>
                <w:szCs w:val="21"/>
              </w:rPr>
              <w:br/>
              <w:t xml:space="preserve">　　6.用于维生素检测的试剂；</w:t>
            </w:r>
            <w:r w:rsidRPr="00DA6210">
              <w:rPr>
                <w:rFonts w:asciiTheme="majorEastAsia" w:eastAsiaTheme="majorEastAsia" w:hAnsiTheme="majorEastAsia" w:cs="Arial"/>
                <w:color w:val="000000"/>
                <w:kern w:val="0"/>
                <w:szCs w:val="21"/>
              </w:rPr>
              <w:br/>
              <w:t xml:space="preserve">　　7.用于无机离子检测的试剂；</w:t>
            </w:r>
            <w:r w:rsidRPr="00DA6210">
              <w:rPr>
                <w:rFonts w:asciiTheme="majorEastAsia" w:eastAsiaTheme="majorEastAsia" w:hAnsiTheme="majorEastAsia" w:cs="Arial"/>
                <w:color w:val="000000"/>
                <w:kern w:val="0"/>
                <w:szCs w:val="21"/>
              </w:rPr>
              <w:br/>
              <w:t xml:space="preserve">　　8.用于药物及药物代谢物检测的试剂；</w:t>
            </w:r>
            <w:r w:rsidRPr="00DA6210">
              <w:rPr>
                <w:rFonts w:asciiTheme="majorEastAsia" w:eastAsiaTheme="majorEastAsia" w:hAnsiTheme="majorEastAsia" w:cs="Arial"/>
                <w:color w:val="000000"/>
                <w:kern w:val="0"/>
                <w:szCs w:val="21"/>
              </w:rPr>
              <w:br/>
              <w:t xml:space="preserve">　　9.用于自身抗体检测的试剂；</w:t>
            </w:r>
            <w:r w:rsidRPr="00DA6210">
              <w:rPr>
                <w:rFonts w:asciiTheme="majorEastAsia" w:eastAsiaTheme="majorEastAsia" w:hAnsiTheme="majorEastAsia" w:cs="Arial"/>
                <w:color w:val="000000"/>
                <w:kern w:val="0"/>
                <w:szCs w:val="21"/>
              </w:rPr>
              <w:br/>
              <w:t xml:space="preserve">　　10.用于微生物鉴别或者药敏试验的试剂；</w:t>
            </w:r>
            <w:r w:rsidRPr="00DA6210">
              <w:rPr>
                <w:rFonts w:asciiTheme="majorEastAsia" w:eastAsiaTheme="majorEastAsia" w:hAnsiTheme="majorEastAsia" w:cs="Arial"/>
                <w:color w:val="000000"/>
                <w:kern w:val="0"/>
                <w:szCs w:val="21"/>
              </w:rPr>
              <w:br/>
              <w:t xml:space="preserve">　　11.用于其他生理、生化或者免疫功能指标检测的试剂。</w:t>
            </w:r>
            <w:r w:rsidRPr="00DA6210">
              <w:rPr>
                <w:rFonts w:asciiTheme="majorEastAsia" w:eastAsiaTheme="majorEastAsia" w:hAnsiTheme="majorEastAsia" w:cs="Arial"/>
                <w:color w:val="000000"/>
                <w:kern w:val="0"/>
                <w:szCs w:val="21"/>
              </w:rPr>
              <w:br/>
              <w:t xml:space="preserve">　　（三）第三类产品</w:t>
            </w:r>
            <w:r w:rsidRPr="00DA6210">
              <w:rPr>
                <w:rFonts w:asciiTheme="majorEastAsia" w:eastAsiaTheme="majorEastAsia" w:hAnsiTheme="majorEastAsia" w:cs="Arial"/>
                <w:color w:val="000000"/>
                <w:kern w:val="0"/>
                <w:szCs w:val="21"/>
              </w:rPr>
              <w:br/>
              <w:t xml:space="preserve">　　1.与致病性病原体抗原、抗体以及核酸等检测相关的试剂；</w:t>
            </w:r>
            <w:r w:rsidRPr="00DA6210">
              <w:rPr>
                <w:rFonts w:asciiTheme="majorEastAsia" w:eastAsiaTheme="majorEastAsia" w:hAnsiTheme="majorEastAsia" w:cs="Arial"/>
                <w:color w:val="000000"/>
                <w:kern w:val="0"/>
                <w:szCs w:val="21"/>
              </w:rPr>
              <w:br/>
              <w:t xml:space="preserve">　　2.与血型、组织配型相关的试剂；</w:t>
            </w:r>
            <w:r w:rsidRPr="00DA6210">
              <w:rPr>
                <w:rFonts w:asciiTheme="majorEastAsia" w:eastAsiaTheme="majorEastAsia" w:hAnsiTheme="majorEastAsia" w:cs="Arial"/>
                <w:color w:val="000000"/>
                <w:kern w:val="0"/>
                <w:szCs w:val="21"/>
              </w:rPr>
              <w:br/>
              <w:t xml:space="preserve">　　3.与人类基因检测相关的试剂；</w:t>
            </w:r>
            <w:r w:rsidRPr="00DA6210">
              <w:rPr>
                <w:rFonts w:asciiTheme="majorEastAsia" w:eastAsiaTheme="majorEastAsia" w:hAnsiTheme="majorEastAsia" w:cs="Arial"/>
                <w:color w:val="000000"/>
                <w:kern w:val="0"/>
                <w:szCs w:val="21"/>
              </w:rPr>
              <w:br/>
              <w:t xml:space="preserve">　　4.与遗传性疾病相关的试剂；</w:t>
            </w:r>
            <w:r w:rsidRPr="00DA6210">
              <w:rPr>
                <w:rFonts w:asciiTheme="majorEastAsia" w:eastAsiaTheme="majorEastAsia" w:hAnsiTheme="majorEastAsia" w:cs="Arial"/>
                <w:color w:val="000000"/>
                <w:kern w:val="0"/>
                <w:szCs w:val="21"/>
              </w:rPr>
              <w:br/>
              <w:t xml:space="preserve">　　5.与麻醉药品、精神药品、医疗用毒性药品检测相关的试剂；</w:t>
            </w:r>
            <w:r w:rsidRPr="00DA6210">
              <w:rPr>
                <w:rFonts w:asciiTheme="majorEastAsia" w:eastAsiaTheme="majorEastAsia" w:hAnsiTheme="majorEastAsia" w:cs="Arial"/>
                <w:color w:val="000000"/>
                <w:kern w:val="0"/>
                <w:szCs w:val="21"/>
              </w:rPr>
              <w:br/>
              <w:t xml:space="preserve">　　6.与治疗药物作用靶点检测相关的试剂;</w:t>
            </w:r>
            <w:r w:rsidRPr="00DA6210">
              <w:rPr>
                <w:rFonts w:asciiTheme="majorEastAsia" w:eastAsiaTheme="majorEastAsia" w:hAnsiTheme="majorEastAsia" w:cs="Arial"/>
                <w:color w:val="000000"/>
                <w:kern w:val="0"/>
                <w:szCs w:val="21"/>
              </w:rPr>
              <w:br/>
              <w:t xml:space="preserve">　　7.与肿瘤标志物检测相关的试剂;</w:t>
            </w:r>
            <w:r w:rsidRPr="00DA6210">
              <w:rPr>
                <w:rFonts w:asciiTheme="majorEastAsia" w:eastAsiaTheme="majorEastAsia" w:hAnsiTheme="majorEastAsia" w:cs="Arial"/>
                <w:color w:val="000000"/>
                <w:kern w:val="0"/>
                <w:szCs w:val="21"/>
              </w:rPr>
              <w:br/>
              <w:t xml:space="preserve">　　8.与变态反应（过敏原）相关的试剂。</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第十八条　第十七条所列的第二类产品如用于肿瘤的诊断、辅助诊断、治疗过程的监测，或者用于遗传性疾病的诊断、辅助诊断等，按第三类产品注册管理。用于药物及药物代谢物检测的试剂，如该药物属于麻醉药品、精神药品或者医疗用毒性药品范围的，按第三类产品</w:t>
            </w:r>
            <w:r w:rsidRPr="00DA6210">
              <w:rPr>
                <w:rFonts w:asciiTheme="majorEastAsia" w:eastAsiaTheme="majorEastAsia" w:hAnsiTheme="majorEastAsia" w:cs="Arial"/>
                <w:color w:val="000000"/>
                <w:kern w:val="0"/>
                <w:szCs w:val="21"/>
              </w:rPr>
              <w:lastRenderedPageBreak/>
              <w:t>注册管理。</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第十九条　校准品、质控品可以与配合使用的体外诊断试剂合并申请注册，也可以单独申请注册。</w:t>
            </w:r>
            <w:r w:rsidRPr="00DA6210">
              <w:rPr>
                <w:rFonts w:asciiTheme="majorEastAsia" w:eastAsiaTheme="majorEastAsia" w:hAnsiTheme="majorEastAsia" w:cs="Arial"/>
                <w:color w:val="000000"/>
                <w:kern w:val="0"/>
                <w:szCs w:val="21"/>
              </w:rPr>
              <w:br/>
              <w:t xml:space="preserve">　　与第一类体外诊断试剂配合使用的校准品、质控品，按第二类产品进行注册；与第二类、第三类体外诊断试剂配合使用的校准品、质控品单独申请注册时，按与试剂相同的类别进行注册；多项校准品、质控品，按其中的高类别进行注册。</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第二十条　国家食品药品监督管理总局负责体外诊断试剂产品分类目录的制定和调整。</w:t>
            </w:r>
            <w:r w:rsidRPr="00DA6210">
              <w:rPr>
                <w:rFonts w:asciiTheme="majorEastAsia" w:eastAsiaTheme="majorEastAsia" w:hAnsiTheme="majorEastAsia" w:cs="Arial"/>
                <w:color w:val="000000"/>
                <w:kern w:val="0"/>
                <w:szCs w:val="21"/>
              </w:rPr>
              <w:br/>
              <w:t xml:space="preserve">　　对新研制的尚未列入体外诊断试剂分类目录的体外诊断试剂，申请人可以直接申请第三类体外诊断试剂产品注册，也可以依据分类规则判断产品类别向国家食品药品监督管理总局申请类别确认后，申请产品注册或者办理产品备案。</w:t>
            </w:r>
            <w:r w:rsidRPr="00DA6210">
              <w:rPr>
                <w:rFonts w:asciiTheme="majorEastAsia" w:eastAsiaTheme="majorEastAsia" w:hAnsiTheme="majorEastAsia" w:cs="Arial"/>
                <w:color w:val="000000"/>
                <w:kern w:val="0"/>
                <w:szCs w:val="21"/>
              </w:rPr>
              <w:br/>
              <w:t xml:space="preserve">　　直接申请第三类体外诊断试剂注册的，国家食品药品监督管理总局按照风险程度确定类别。境内体外诊断试剂确定为第二类的，国家食品药品监督管理总局将申报资料转申请人所在地省、自治区、直辖市食品药品监督管理部门审评审批；境内体外诊断试剂确定为第一类的，国家食品药品监督管理总局将申报资料转申请人所在地设区的市级食品药品监督管理部门备案。</w:t>
            </w:r>
          </w:p>
          <w:p w:rsidR="00B71744" w:rsidRPr="00DA6210" w:rsidRDefault="00B71744" w:rsidP="00DA6210">
            <w:pPr>
              <w:widowControl/>
              <w:spacing w:before="100" w:beforeAutospacing="1" w:after="100" w:afterAutospacing="1"/>
              <w:jc w:val="left"/>
              <w:rPr>
                <w:rFonts w:asciiTheme="majorEastAsia" w:eastAsiaTheme="majorEastAsia" w:hAnsiTheme="majorEastAsia" w:cs="Arial"/>
                <w:color w:val="000000"/>
                <w:kern w:val="0"/>
                <w:szCs w:val="21"/>
              </w:rPr>
            </w:pPr>
            <w:r w:rsidRPr="00DA6210">
              <w:rPr>
                <w:rFonts w:asciiTheme="majorEastAsia" w:eastAsiaTheme="majorEastAsia" w:hAnsiTheme="majorEastAsia" w:cs="Arial"/>
                <w:color w:val="000000"/>
                <w:kern w:val="0"/>
                <w:szCs w:val="21"/>
              </w:rPr>
              <w:t xml:space="preserve">　　第二十一条　体外诊断试剂的命名应当遵循以下原则：</w:t>
            </w:r>
            <w:r w:rsidRPr="00DA6210">
              <w:rPr>
                <w:rFonts w:asciiTheme="majorEastAsia" w:eastAsiaTheme="majorEastAsia" w:hAnsiTheme="majorEastAsia" w:cs="Arial"/>
                <w:color w:val="000000"/>
                <w:kern w:val="0"/>
                <w:szCs w:val="21"/>
              </w:rPr>
              <w:br/>
              <w:t xml:space="preserve">　　体外诊断试剂的产品名称一般可以由三部分组成。第一部分：被测物质的名称；第二部分：用途，如诊断血清、测定试剂盒、质控品等；第三部分：方法或者原理，如酶联免疫吸附法、胶体金法等，本部分应当在括号中列出。</w:t>
            </w:r>
            <w:r w:rsidRPr="00DA6210">
              <w:rPr>
                <w:rFonts w:asciiTheme="majorEastAsia" w:eastAsiaTheme="majorEastAsia" w:hAnsiTheme="majorEastAsia" w:cs="Arial"/>
                <w:color w:val="000000"/>
                <w:kern w:val="0"/>
                <w:szCs w:val="21"/>
              </w:rPr>
              <w:br/>
              <w:t xml:space="preserve">　　如果被测物组分较多或者有其他特殊情况，可以采用与产品相关的适应症名称或者其他替代名称。</w:t>
            </w:r>
            <w:r w:rsidRPr="00DA6210">
              <w:rPr>
                <w:rFonts w:asciiTheme="majorEastAsia" w:eastAsiaTheme="majorEastAsia" w:hAnsiTheme="majorEastAsia" w:cs="Arial"/>
                <w:color w:val="000000"/>
                <w:kern w:val="0"/>
                <w:szCs w:val="21"/>
              </w:rPr>
              <w:br/>
              <w:t xml:space="preserve">　　第一类产品和校准品、质控品，依据其预期用途进行命名。</w:t>
            </w:r>
          </w:p>
        </w:tc>
      </w:tr>
    </w:tbl>
    <w:p w:rsidR="00CD2674" w:rsidRPr="00DA6210" w:rsidRDefault="00CD2674" w:rsidP="00DA6210">
      <w:pPr>
        <w:rPr>
          <w:rFonts w:asciiTheme="majorEastAsia" w:eastAsiaTheme="majorEastAsia" w:hAnsiTheme="majorEastAsia"/>
          <w:szCs w:val="21"/>
        </w:rPr>
      </w:pPr>
    </w:p>
    <w:sectPr w:rsidR="00CD2674" w:rsidRPr="00DA6210" w:rsidSect="009F7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44D" w:rsidRDefault="006B144D" w:rsidP="00B71744">
      <w:r>
        <w:separator/>
      </w:r>
    </w:p>
  </w:endnote>
  <w:endnote w:type="continuationSeparator" w:id="1">
    <w:p w:rsidR="006B144D" w:rsidRDefault="006B144D" w:rsidP="00B71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44D" w:rsidRDefault="006B144D" w:rsidP="00B71744">
      <w:r>
        <w:separator/>
      </w:r>
    </w:p>
  </w:footnote>
  <w:footnote w:type="continuationSeparator" w:id="1">
    <w:p w:rsidR="006B144D" w:rsidRDefault="006B144D" w:rsidP="00B717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744"/>
    <w:rsid w:val="000A1E25"/>
    <w:rsid w:val="005B6D99"/>
    <w:rsid w:val="006B144D"/>
    <w:rsid w:val="009F7F77"/>
    <w:rsid w:val="00A03E10"/>
    <w:rsid w:val="00B71744"/>
    <w:rsid w:val="00CD2674"/>
    <w:rsid w:val="00DA6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1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1744"/>
    <w:rPr>
      <w:sz w:val="18"/>
      <w:szCs w:val="18"/>
    </w:rPr>
  </w:style>
  <w:style w:type="paragraph" w:styleId="a4">
    <w:name w:val="footer"/>
    <w:basedOn w:val="a"/>
    <w:link w:val="Char0"/>
    <w:uiPriority w:val="99"/>
    <w:semiHidden/>
    <w:unhideWhenUsed/>
    <w:rsid w:val="00B717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1744"/>
    <w:rPr>
      <w:sz w:val="18"/>
      <w:szCs w:val="18"/>
    </w:rPr>
  </w:style>
  <w:style w:type="character" w:styleId="a5">
    <w:name w:val="Strong"/>
    <w:basedOn w:val="a0"/>
    <w:uiPriority w:val="22"/>
    <w:qFormat/>
    <w:rsid w:val="00B7174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CYR</cp:lastModifiedBy>
  <cp:revision>5</cp:revision>
  <cp:lastPrinted>2014-10-17T02:06:00Z</cp:lastPrinted>
  <dcterms:created xsi:type="dcterms:W3CDTF">2014-09-04T06:36:00Z</dcterms:created>
  <dcterms:modified xsi:type="dcterms:W3CDTF">2015-02-25T08:29:00Z</dcterms:modified>
</cp:coreProperties>
</file>